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EB8E" w14:textId="77777777" w:rsidR="00B06D88" w:rsidRPr="00C92189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19147AE2" w14:textId="77777777" w:rsidR="003F0A83" w:rsidRPr="00C92189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537EF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Uni </w:t>
      </w:r>
      <w:proofErr w:type="spellStart"/>
      <w:r w:rsidR="005E7C06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grund</w:t>
      </w:r>
      <w:proofErr w:type="spellEnd"/>
      <w:r w:rsidR="00D63A3C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5E7C06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Дълбокопроникващ</w:t>
      </w:r>
      <w:proofErr w:type="spellEnd"/>
      <w:r w:rsidR="00EE3D1E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грунд</w:t>
      </w:r>
    </w:p>
    <w:p w14:paraId="41BAF0D7" w14:textId="77777777" w:rsidR="00DD5DCD" w:rsidRPr="00C92189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A2319" w:rsidRPr="00C92189">
        <w:rPr>
          <w:rFonts w:ascii="Arial" w:hAnsi="Arial" w:cs="Arial"/>
          <w:bCs/>
          <w:color w:val="000000" w:themeColor="text1"/>
          <w:sz w:val="28"/>
          <w:szCs w:val="28"/>
        </w:rPr>
        <w:t>Uni</w:t>
      </w:r>
      <w:proofErr w:type="gramEnd"/>
      <w:r w:rsidR="00CA231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CA231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031F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дълбокопроникващ</w:t>
      </w:r>
      <w:proofErr w:type="spellEnd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грунд заздравяващ основата.</w:t>
      </w:r>
    </w:p>
    <w:p w14:paraId="3BB63F8C" w14:textId="77777777" w:rsidR="00C47B82" w:rsidRPr="00C92189" w:rsidRDefault="00C47B82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9B0B6B9" w14:textId="77777777" w:rsidR="00DD5DCD" w:rsidRPr="00C92189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C92189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6B5EC161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</w:t>
      </w:r>
      <w:r w:rsidRPr="00C92189">
        <w:rPr>
          <w:rFonts w:ascii="Arial" w:hAnsi="Arial" w:cs="Arial"/>
          <w:b/>
          <w:sz w:val="28"/>
          <w:szCs w:val="28"/>
        </w:rPr>
        <w:t xml:space="preserve">  </w:t>
      </w:r>
      <w:r w:rsidR="00C47B82" w:rsidRPr="00C92189">
        <w:rPr>
          <w:rFonts w:ascii="Arial" w:hAnsi="Arial" w:cs="Arial"/>
          <w:b/>
          <w:sz w:val="28"/>
          <w:szCs w:val="28"/>
          <w:lang w:val="bg-BG"/>
        </w:rPr>
        <w:t>Заздравява основата в дълбочина</w:t>
      </w:r>
    </w:p>
    <w:p w14:paraId="2D2D8ED7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</w:t>
      </w:r>
      <w:r w:rsidRPr="00C92189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C92189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C9218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2189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C9218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2189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47CD9776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</w:t>
      </w:r>
      <w:r w:rsidRPr="00C92189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C92189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35385D0A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</w:rPr>
        <w:t xml:space="preserve">•  </w:t>
      </w:r>
      <w:r w:rsidRPr="00C92189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4E5613EF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</w:t>
      </w:r>
      <w:r w:rsidRPr="00C92189">
        <w:rPr>
          <w:rFonts w:ascii="Arial" w:hAnsi="Arial" w:cs="Arial"/>
          <w:b/>
          <w:sz w:val="28"/>
          <w:szCs w:val="28"/>
        </w:rPr>
        <w:t xml:space="preserve">  </w:t>
      </w:r>
      <w:r w:rsidRPr="00C92189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747A6B8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</w:t>
      </w:r>
      <w:r w:rsidRPr="00C92189">
        <w:rPr>
          <w:rFonts w:ascii="Arial" w:hAnsi="Arial" w:cs="Arial"/>
          <w:b/>
          <w:sz w:val="28"/>
          <w:szCs w:val="28"/>
        </w:rPr>
        <w:t xml:space="preserve">  </w:t>
      </w:r>
      <w:r w:rsidRPr="00C92189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72D3B416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3EB0A8A1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1A41ED0D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63901" w:rsidRPr="00C92189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901CD9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6E2FC6EA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CA231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865341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 20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един слой при неразредено състояние.</w:t>
      </w:r>
    </w:p>
    <w:p w14:paraId="39EEEBE1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C47B82"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4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1DDBEDBC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193BF45B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C19FD3C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92189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7C14A6C8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F4F4B81" w14:textId="77777777" w:rsidR="00DD5DCD" w:rsidRPr="00C92189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0106FA6" w14:textId="77777777" w:rsidR="00C47B82" w:rsidRPr="00C92189" w:rsidRDefault="00C47B82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19820B3" w14:textId="77777777" w:rsidR="00C47B82" w:rsidRPr="00C92189" w:rsidRDefault="00C47B82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42B545B" w14:textId="77777777" w:rsidR="00DD5DCD" w:rsidRPr="00C92189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D502577" w14:textId="77777777" w:rsidR="00C62500" w:rsidRPr="00C92189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</w:p>
    <w:p w14:paraId="46BA0A31" w14:textId="77777777" w:rsidR="00DD5DCD" w:rsidRPr="00C92189" w:rsidRDefault="00C62500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="00DD5DCD" w:rsidRPr="00C92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DD5DCD" w:rsidRPr="00C92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="00DD5DCD" w:rsidRPr="00C92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6A25C9F9" w14:textId="77777777" w:rsidR="00DD5DCD" w:rsidRPr="00C92189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92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46C23CEF" w14:textId="77777777" w:rsidR="00DD5DCD" w:rsidRPr="00C92189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4A870BF" w14:textId="77777777" w:rsidR="00C62500" w:rsidRPr="00C92189" w:rsidRDefault="00C62500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CFA13A5" w14:textId="77777777" w:rsidR="00DD5DCD" w:rsidRPr="00C92189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0D08CFD" w14:textId="77777777" w:rsidR="00DD5DCD" w:rsidRPr="00C92189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6BBD9D0D" w14:textId="77777777" w:rsidR="005E7C06" w:rsidRPr="00C92189" w:rsidRDefault="00DD5DCD" w:rsidP="005E7C06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GBC  Uni  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дълбокопроникващ</w:t>
      </w:r>
      <w:proofErr w:type="spellEnd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грунд заздравяващ основата.</w:t>
      </w:r>
    </w:p>
    <w:p w14:paraId="643EDF13" w14:textId="77777777" w:rsidR="00C47B82" w:rsidRPr="00C92189" w:rsidRDefault="00DD5DCD" w:rsidP="00C47B8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 Uni   </w:t>
      </w:r>
      <w:proofErr w:type="spellStart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предназначен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грундиране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варови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газобетонни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блокчета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тухли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вароциментови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шпакловки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Може да се използва за грундиране на основи преди нанасяне на </w:t>
      </w:r>
      <w:proofErr w:type="spellStart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самонивелиращи</w:t>
      </w:r>
      <w:proofErr w:type="spellEnd"/>
      <w:r w:rsidR="00C47B82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се подови мазилки.</w:t>
      </w:r>
    </w:p>
    <w:p w14:paraId="5B00D6B5" w14:textId="77777777" w:rsidR="00E5723F" w:rsidRPr="00C92189" w:rsidRDefault="00DD5DCD" w:rsidP="001327B7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Основната роля на </w:t>
      </w:r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 Uni   </w:t>
      </w:r>
      <w:proofErr w:type="spellStart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да заздрави основите </w:t>
      </w:r>
      <w:proofErr w:type="spellStart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бърху</w:t>
      </w:r>
      <w:proofErr w:type="spellEnd"/>
      <w:r w:rsidR="001327B7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които се поставя.</w:t>
      </w:r>
    </w:p>
    <w:p w14:paraId="4A39D2CB" w14:textId="77777777" w:rsidR="00DD5DCD" w:rsidRPr="00C92189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75884F2" w14:textId="77777777" w:rsidR="00DD5DCD" w:rsidRPr="00C92189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9F11188" w14:textId="77777777" w:rsidR="00DD5DCD" w:rsidRPr="00C92189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C92189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C92189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003A4B2D" w14:textId="77777777" w:rsidR="00DD5DCD" w:rsidRPr="00C92189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C92189">
        <w:rPr>
          <w:rFonts w:ascii="Arial" w:hAnsi="Arial" w:cs="Arial"/>
          <w:b/>
          <w:sz w:val="28"/>
          <w:szCs w:val="28"/>
        </w:rPr>
        <w:t>EN ISO 2811-1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1A2782" w:rsidRPr="00C92189">
        <w:rPr>
          <w:rFonts w:ascii="Arial" w:hAnsi="Arial" w:cs="Arial"/>
          <w:b/>
          <w:sz w:val="28"/>
          <w:szCs w:val="28"/>
          <w:lang w:val="bg-BG"/>
        </w:rPr>
        <w:t>1000 ± 50</w:t>
      </w:r>
      <w:r w:rsidRPr="00C92189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5762BCBC" w14:textId="77777777" w:rsidR="00DD5DCD" w:rsidRPr="00C92189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C92189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C92189">
        <w:rPr>
          <w:rFonts w:ascii="Arial" w:hAnsi="Arial" w:cs="Arial"/>
          <w:b/>
          <w:sz w:val="28"/>
          <w:szCs w:val="28"/>
        </w:rPr>
        <w:t>EN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C92189">
        <w:rPr>
          <w:rFonts w:ascii="Arial" w:hAnsi="Arial" w:cs="Arial"/>
          <w:b/>
          <w:sz w:val="28"/>
          <w:szCs w:val="28"/>
        </w:rPr>
        <w:t>ISO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1A2782" w:rsidRPr="00C92189">
        <w:rPr>
          <w:rFonts w:ascii="Arial" w:hAnsi="Arial" w:cs="Arial"/>
          <w:b/>
          <w:sz w:val="28"/>
          <w:szCs w:val="28"/>
          <w:lang w:val="bg-BG"/>
        </w:rPr>
        <w:t>16 ± 5</w:t>
      </w:r>
      <w:r w:rsidRPr="00C92189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1EF6BC4" w14:textId="77777777" w:rsidR="00DD5DCD" w:rsidRPr="00C92189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sz w:val="28"/>
          <w:szCs w:val="28"/>
        </w:rPr>
        <w:t>pH</w:t>
      </w:r>
      <w:r w:rsidRPr="00C92189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1A2782" w:rsidRPr="00C92189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C92189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905FC8B" w14:textId="77777777" w:rsidR="00DD5DCD" w:rsidRPr="00C92189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92189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proofErr w:type="spellStart"/>
      <w:r w:rsidR="001A2782" w:rsidRPr="00C92189">
        <w:rPr>
          <w:rFonts w:ascii="Arial" w:hAnsi="Arial" w:cs="Arial"/>
          <w:b/>
          <w:sz w:val="28"/>
          <w:szCs w:val="28"/>
        </w:rPr>
        <w:t>до</w:t>
      </w:r>
      <w:proofErr w:type="spellEnd"/>
      <w:r w:rsidR="001A2782" w:rsidRPr="00C92189">
        <w:rPr>
          <w:rFonts w:ascii="Arial" w:hAnsi="Arial" w:cs="Arial"/>
          <w:b/>
          <w:sz w:val="28"/>
          <w:szCs w:val="28"/>
        </w:rPr>
        <w:t xml:space="preserve"> 20</w:t>
      </w:r>
      <w:r w:rsidR="001A2782" w:rsidRPr="00C92189">
        <w:rPr>
          <w:rFonts w:ascii="Arial" w:hAnsi="Arial" w:cs="Arial"/>
          <w:b/>
          <w:sz w:val="28"/>
          <w:szCs w:val="28"/>
          <w:lang w:val="bg-BG"/>
        </w:rPr>
        <w:t>м²/</w:t>
      </w:r>
      <w:proofErr w:type="spellStart"/>
      <w:r w:rsidR="001A2782" w:rsidRPr="00C92189">
        <w:rPr>
          <w:rFonts w:ascii="Arial" w:hAnsi="Arial" w:cs="Arial"/>
          <w:b/>
          <w:sz w:val="28"/>
          <w:szCs w:val="28"/>
          <w:lang w:val="bg-BG"/>
        </w:rPr>
        <w:t>л.</w:t>
      </w:r>
      <w:r w:rsidRPr="00C92189">
        <w:rPr>
          <w:rFonts w:ascii="Arial" w:hAnsi="Arial" w:cs="Arial"/>
          <w:b/>
          <w:sz w:val="28"/>
          <w:szCs w:val="28"/>
          <w:lang w:val="bg-BG"/>
        </w:rPr>
        <w:t>за</w:t>
      </w:r>
      <w:proofErr w:type="spellEnd"/>
      <w:r w:rsidRPr="00C92189">
        <w:rPr>
          <w:rFonts w:ascii="Arial" w:hAnsi="Arial" w:cs="Arial"/>
          <w:b/>
          <w:sz w:val="28"/>
          <w:szCs w:val="28"/>
          <w:lang w:val="bg-BG"/>
        </w:rPr>
        <w:t xml:space="preserve"> един слой.</w:t>
      </w:r>
    </w:p>
    <w:p w14:paraId="55B63F22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4BA0D5A4" w14:textId="77777777" w:rsidR="00C62500" w:rsidRPr="00C92189" w:rsidRDefault="00C62500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430C9B2" w14:textId="77777777" w:rsidR="00C62500" w:rsidRPr="00C92189" w:rsidRDefault="00C62500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0EB698B2" w14:textId="77777777" w:rsidR="00C62500" w:rsidRPr="00C92189" w:rsidRDefault="00C62500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0E0C8EDA" w14:textId="77777777" w:rsidR="00DD5DCD" w:rsidRPr="00C92189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12D0FECA" w14:textId="77777777" w:rsidR="00EE3D1E" w:rsidRPr="00C92189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C92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9A459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proofErr w:type="spellStart"/>
      <w:r w:rsidR="005E7C06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полага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повърхност.Предварително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мазни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петна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замърсявания.Обработваните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механично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здрави</w:t>
      </w:r>
      <w:proofErr w:type="spellEnd"/>
      <w:r w:rsidR="00EE3D1E" w:rsidRPr="00C9218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6CB4AB2" w14:textId="77777777" w:rsidR="00E5723F" w:rsidRPr="00C92189" w:rsidRDefault="00DD5DCD" w:rsidP="00A64BA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C92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различен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начин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основата.При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силно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попиващи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основи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газ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варови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.)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1:4.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по-слабо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попиващи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основи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вароциментови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шпакловки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.)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1:</w:t>
      </w:r>
      <w:proofErr w:type="gram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5.Препоръчва</w:t>
      </w:r>
      <w:proofErr w:type="gram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направи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проба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установи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нужното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разреждане.Самото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нанасяне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извършва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машинно.Задължително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разбъркайте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употреба.Времето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изсъхване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е 2-4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нанасяне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въз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духа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23⁰C и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50%.Да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>+5 ⁰C</w:t>
      </w:r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до</w:t>
      </w:r>
      <w:r w:rsidR="00A64BA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+30⁰C.</w:t>
      </w:r>
    </w:p>
    <w:p w14:paraId="6FFD7B28" w14:textId="77777777" w:rsidR="00DD5DCD" w:rsidRPr="00C92189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CA2319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F67664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 20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в зависимост от</w:t>
      </w:r>
      <w:r w:rsidR="00AB7E7E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B7E7E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корозивността</w:t>
      </w:r>
      <w:proofErr w:type="spellEnd"/>
      <w:r w:rsidR="00AB7E7E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proofErr w:type="gramEnd"/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основата и разреждането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6A6AAE55" w14:textId="77777777" w:rsidR="00DD5DCD" w:rsidRPr="00C92189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0D27B2" w:rsidRPr="00C92189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F67664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Pr="00C92189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19AED603" w14:textId="77777777" w:rsidR="00DD5DCD" w:rsidRPr="00C92189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+5⁰С до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30⁰С.</w:t>
      </w:r>
    </w:p>
    <w:p w14:paraId="6354F07A" w14:textId="77777777" w:rsidR="00A5180B" w:rsidRPr="00C92189" w:rsidRDefault="00DD5DCD" w:rsidP="00A5180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2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+5⁰С и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85%.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Обработваните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студ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физически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8D0107" w:rsidRPr="00C9218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Не се препоръчва употребата на </w:t>
      </w:r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3B7C28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като основа върху която се нанасят интериорни или фасадни бои. </w:t>
      </w:r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неговата употреба задължително да се използва </w:t>
      </w:r>
      <w:proofErr w:type="spellStart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филмообразуващ</w:t>
      </w:r>
      <w:proofErr w:type="spellEnd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грунд </w:t>
      </w:r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</w:rPr>
        <w:t>Izоnit</w:t>
      </w:r>
      <w:proofErr w:type="spellEnd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или </w:t>
      </w:r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A5180B" w:rsidRPr="00C92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C9A6BC9" w14:textId="77777777" w:rsidR="008A625D" w:rsidRPr="00C92189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B25D456" w14:textId="77777777" w:rsidR="00A5180B" w:rsidRPr="00C92189" w:rsidRDefault="00A5180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sectPr w:rsidR="00A5180B" w:rsidRPr="00C92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3504">
    <w:abstractNumId w:val="0"/>
  </w:num>
  <w:num w:numId="2" w16cid:durableId="169326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D27B2"/>
    <w:rsid w:val="001127EB"/>
    <w:rsid w:val="001327B7"/>
    <w:rsid w:val="001A2782"/>
    <w:rsid w:val="001D16F5"/>
    <w:rsid w:val="00235ED3"/>
    <w:rsid w:val="002773A3"/>
    <w:rsid w:val="002900D7"/>
    <w:rsid w:val="002B3216"/>
    <w:rsid w:val="002F6CEE"/>
    <w:rsid w:val="00357BBB"/>
    <w:rsid w:val="00387EAF"/>
    <w:rsid w:val="003B7C28"/>
    <w:rsid w:val="003F0A83"/>
    <w:rsid w:val="004029AA"/>
    <w:rsid w:val="0043455F"/>
    <w:rsid w:val="00481C4C"/>
    <w:rsid w:val="004D26E6"/>
    <w:rsid w:val="0051165C"/>
    <w:rsid w:val="0053267D"/>
    <w:rsid w:val="0055165A"/>
    <w:rsid w:val="005B58D2"/>
    <w:rsid w:val="005D4543"/>
    <w:rsid w:val="005E7C06"/>
    <w:rsid w:val="006228F8"/>
    <w:rsid w:val="00625ED1"/>
    <w:rsid w:val="006E7B09"/>
    <w:rsid w:val="007511EE"/>
    <w:rsid w:val="007718F2"/>
    <w:rsid w:val="00786E2E"/>
    <w:rsid w:val="0079031F"/>
    <w:rsid w:val="00792E00"/>
    <w:rsid w:val="00795A3C"/>
    <w:rsid w:val="00855EAD"/>
    <w:rsid w:val="00857201"/>
    <w:rsid w:val="00865341"/>
    <w:rsid w:val="008A625D"/>
    <w:rsid w:val="008B0D1E"/>
    <w:rsid w:val="008D0107"/>
    <w:rsid w:val="008E1600"/>
    <w:rsid w:val="00901CD9"/>
    <w:rsid w:val="0092219F"/>
    <w:rsid w:val="00977BD5"/>
    <w:rsid w:val="009A4599"/>
    <w:rsid w:val="009E3FD3"/>
    <w:rsid w:val="00A0027A"/>
    <w:rsid w:val="00A41474"/>
    <w:rsid w:val="00A5180B"/>
    <w:rsid w:val="00A64BA4"/>
    <w:rsid w:val="00AA6B7B"/>
    <w:rsid w:val="00AB25CC"/>
    <w:rsid w:val="00AB7E7E"/>
    <w:rsid w:val="00AC3E66"/>
    <w:rsid w:val="00B06D88"/>
    <w:rsid w:val="00B272D4"/>
    <w:rsid w:val="00B35769"/>
    <w:rsid w:val="00B3714B"/>
    <w:rsid w:val="00B67794"/>
    <w:rsid w:val="00B81647"/>
    <w:rsid w:val="00BD39D6"/>
    <w:rsid w:val="00C23947"/>
    <w:rsid w:val="00C47B82"/>
    <w:rsid w:val="00C62500"/>
    <w:rsid w:val="00C73EAA"/>
    <w:rsid w:val="00C8387A"/>
    <w:rsid w:val="00C92189"/>
    <w:rsid w:val="00CA2319"/>
    <w:rsid w:val="00CE7D59"/>
    <w:rsid w:val="00D16FC3"/>
    <w:rsid w:val="00D328CB"/>
    <w:rsid w:val="00D537EF"/>
    <w:rsid w:val="00D547DE"/>
    <w:rsid w:val="00D55943"/>
    <w:rsid w:val="00D63A3C"/>
    <w:rsid w:val="00DD5DCD"/>
    <w:rsid w:val="00DE194A"/>
    <w:rsid w:val="00DE1DBF"/>
    <w:rsid w:val="00E1582E"/>
    <w:rsid w:val="00E35DD2"/>
    <w:rsid w:val="00E5723F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995E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22</cp:revision>
  <cp:lastPrinted>2017-02-23T12:13:00Z</cp:lastPrinted>
  <dcterms:created xsi:type="dcterms:W3CDTF">2017-02-23T11:59:00Z</dcterms:created>
  <dcterms:modified xsi:type="dcterms:W3CDTF">2024-03-12T14:10:00Z</dcterms:modified>
</cp:coreProperties>
</file>